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BA056" w14:textId="77777777" w:rsidR="00860DB8" w:rsidRPr="008705EA" w:rsidRDefault="00860DB8" w:rsidP="00843118">
      <w:pPr>
        <w:spacing w:line="288" w:lineRule="auto"/>
        <w:jc w:val="both"/>
        <w:rPr>
          <w:rFonts w:ascii="Arial" w:hAnsi="Arial" w:cs="Arial"/>
          <w:sz w:val="28"/>
          <w:szCs w:val="28"/>
        </w:rPr>
      </w:pPr>
      <w:bookmarkStart w:id="0" w:name="_GoBack"/>
      <w:bookmarkEnd w:id="0"/>
      <w:r w:rsidRPr="008705EA">
        <w:rPr>
          <w:rFonts w:ascii="Arial" w:hAnsi="Arial" w:cs="Arial"/>
          <w:sz w:val="28"/>
          <w:szCs w:val="28"/>
        </w:rPr>
        <w:t>Notable, Veteran and Ancient Trees</w:t>
      </w:r>
    </w:p>
    <w:p w14:paraId="32C2E686" w14:textId="77777777" w:rsidR="00860DB8" w:rsidRDefault="00860DB8" w:rsidP="00843118">
      <w:pPr>
        <w:spacing w:line="288" w:lineRule="auto"/>
        <w:jc w:val="both"/>
        <w:rPr>
          <w:rFonts w:ascii="Arial" w:hAnsi="Arial" w:cs="Arial"/>
        </w:rPr>
      </w:pPr>
    </w:p>
    <w:p w14:paraId="7A127001" w14:textId="77777777" w:rsidR="00843118" w:rsidRPr="005C6580" w:rsidRDefault="00843118" w:rsidP="00843118">
      <w:pPr>
        <w:spacing w:line="288" w:lineRule="auto"/>
        <w:jc w:val="both"/>
        <w:rPr>
          <w:rFonts w:ascii="Arial" w:hAnsi="Arial" w:cs="Arial"/>
        </w:rPr>
      </w:pPr>
      <w:r w:rsidRPr="005C6580">
        <w:rPr>
          <w:rFonts w:ascii="Arial" w:hAnsi="Arial" w:cs="Arial"/>
        </w:rPr>
        <w:t>Notable trees are large trees without veteran features or those that are showing the b</w:t>
      </w:r>
      <w:r w:rsidR="00056D5B">
        <w:rPr>
          <w:rFonts w:ascii="Arial" w:hAnsi="Arial" w:cs="Arial"/>
        </w:rPr>
        <w:t>eginnings of veteran features; t</w:t>
      </w:r>
      <w:r w:rsidRPr="005C6580">
        <w:rPr>
          <w:rFonts w:ascii="Arial" w:hAnsi="Arial" w:cs="Arial"/>
        </w:rPr>
        <w:t xml:space="preserve">hey are the next generation of veteran trees. Veteran trees are those that are displaying veteran features such as decay, decorticated wood, broken branches, splits, rot holes or hollowing. Ancient trees </w:t>
      </w:r>
      <w:r w:rsidR="0046135D">
        <w:rPr>
          <w:rFonts w:ascii="Arial" w:hAnsi="Arial" w:cs="Arial"/>
        </w:rPr>
        <w:t>are th</w:t>
      </w:r>
      <w:r w:rsidR="00056D5B">
        <w:rPr>
          <w:rFonts w:ascii="Arial" w:hAnsi="Arial" w:cs="Arial"/>
        </w:rPr>
        <w:t>ose that are in the final stage</w:t>
      </w:r>
      <w:r w:rsidR="0046135D">
        <w:rPr>
          <w:rFonts w:ascii="Arial" w:hAnsi="Arial" w:cs="Arial"/>
        </w:rPr>
        <w:t xml:space="preserve"> of life (though this may go on for hundreds of years) </w:t>
      </w:r>
      <w:r w:rsidRPr="005C6580">
        <w:rPr>
          <w:rFonts w:ascii="Arial" w:hAnsi="Arial" w:cs="Arial"/>
        </w:rPr>
        <w:t xml:space="preserve">and </w:t>
      </w:r>
      <w:r w:rsidR="00056D5B">
        <w:rPr>
          <w:rFonts w:ascii="Arial" w:hAnsi="Arial" w:cs="Arial"/>
        </w:rPr>
        <w:t>tend to</w:t>
      </w:r>
      <w:r w:rsidRPr="005C6580">
        <w:rPr>
          <w:rFonts w:ascii="Arial" w:hAnsi="Arial" w:cs="Arial"/>
        </w:rPr>
        <w:t xml:space="preserve"> have a shrinking crown</w:t>
      </w:r>
      <w:r w:rsidR="00056D5B" w:rsidRPr="00056D5B">
        <w:rPr>
          <w:rFonts w:ascii="Arial" w:hAnsi="Arial" w:cs="Arial"/>
        </w:rPr>
        <w:t xml:space="preserve"> </w:t>
      </w:r>
      <w:r w:rsidR="00056D5B">
        <w:rPr>
          <w:rFonts w:ascii="Arial" w:hAnsi="Arial" w:cs="Arial"/>
        </w:rPr>
        <w:t>and often have</w:t>
      </w:r>
      <w:r w:rsidR="00056D5B" w:rsidRPr="005C6580">
        <w:rPr>
          <w:rFonts w:ascii="Arial" w:hAnsi="Arial" w:cs="Arial"/>
        </w:rPr>
        <w:t xml:space="preserve"> significant hollowing</w:t>
      </w:r>
      <w:r w:rsidRPr="005C6580">
        <w:rPr>
          <w:rFonts w:ascii="Arial" w:hAnsi="Arial" w:cs="Arial"/>
        </w:rPr>
        <w:t>.</w:t>
      </w:r>
    </w:p>
    <w:p w14:paraId="305FC196" w14:textId="77777777" w:rsidR="00843118" w:rsidRPr="005C6580" w:rsidRDefault="00843118" w:rsidP="00843118">
      <w:pPr>
        <w:spacing w:line="288" w:lineRule="auto"/>
        <w:jc w:val="both"/>
        <w:rPr>
          <w:rFonts w:ascii="Arial" w:hAnsi="Arial" w:cs="Arial"/>
        </w:rPr>
      </w:pPr>
    </w:p>
    <w:p w14:paraId="64926EA2" w14:textId="77777777" w:rsidR="00843118" w:rsidRDefault="00860DB8" w:rsidP="00843118">
      <w:pPr>
        <w:spacing w:line="288" w:lineRule="auto"/>
        <w:jc w:val="both"/>
        <w:rPr>
          <w:rFonts w:ascii="Arial" w:hAnsi="Arial" w:cs="Arial"/>
        </w:rPr>
      </w:pPr>
      <w:r>
        <w:rPr>
          <w:rFonts w:ascii="Arial" w:hAnsi="Arial" w:cs="Arial"/>
        </w:rPr>
        <w:t xml:space="preserve">The measurements given below </w:t>
      </w:r>
      <w:r w:rsidR="002A6837">
        <w:rPr>
          <w:rFonts w:ascii="Arial" w:hAnsi="Arial" w:cs="Arial"/>
        </w:rPr>
        <w:t>are a rule of thumb as to the kind of class sizes that would fit each of the categories</w:t>
      </w:r>
      <w:r w:rsidR="002A6837" w:rsidRPr="002A6837">
        <w:rPr>
          <w:rFonts w:ascii="Arial" w:hAnsi="Arial" w:cs="Arial"/>
        </w:rPr>
        <w:t xml:space="preserve"> </w:t>
      </w:r>
      <w:r w:rsidR="002A6837">
        <w:rPr>
          <w:rFonts w:ascii="Arial" w:hAnsi="Arial" w:cs="Arial"/>
        </w:rPr>
        <w:t xml:space="preserve">for </w:t>
      </w:r>
      <w:r w:rsidR="0046135D">
        <w:rPr>
          <w:rFonts w:ascii="Arial" w:hAnsi="Arial" w:cs="Arial"/>
        </w:rPr>
        <w:t xml:space="preserve">trees such as </w:t>
      </w:r>
      <w:r w:rsidR="00FB7DEC">
        <w:rPr>
          <w:rFonts w:ascii="Arial" w:hAnsi="Arial" w:cs="Arial"/>
        </w:rPr>
        <w:t>Oaks,</w:t>
      </w:r>
      <w:r w:rsidR="002A6837">
        <w:rPr>
          <w:rFonts w:ascii="Arial" w:hAnsi="Arial" w:cs="Arial"/>
        </w:rPr>
        <w:t xml:space="preserve"> </w:t>
      </w:r>
      <w:r w:rsidR="0046135D">
        <w:rPr>
          <w:rFonts w:ascii="Arial" w:hAnsi="Arial" w:cs="Arial"/>
        </w:rPr>
        <w:t>Ash and Beech (though Ash and Beech may show veteran features when the diameter is just 1 m and girth 3.1 m).</w:t>
      </w:r>
      <w:r w:rsidR="002A6837">
        <w:rPr>
          <w:rFonts w:ascii="Arial" w:hAnsi="Arial" w:cs="Arial"/>
        </w:rPr>
        <w:t xml:space="preserve"> </w:t>
      </w:r>
      <w:r w:rsidR="0046135D">
        <w:rPr>
          <w:rFonts w:ascii="Arial" w:hAnsi="Arial" w:cs="Arial"/>
        </w:rPr>
        <w:t>Smalle</w:t>
      </w:r>
      <w:r w:rsidR="002A6837">
        <w:rPr>
          <w:rFonts w:ascii="Arial" w:hAnsi="Arial" w:cs="Arial"/>
        </w:rPr>
        <w:t xml:space="preserve">r trees </w:t>
      </w:r>
      <w:r w:rsidR="0046135D">
        <w:rPr>
          <w:rFonts w:ascii="Arial" w:hAnsi="Arial" w:cs="Arial"/>
        </w:rPr>
        <w:t>/ shrubs such as Field Maple,</w:t>
      </w:r>
      <w:r w:rsidR="002A6837">
        <w:rPr>
          <w:rFonts w:ascii="Arial" w:hAnsi="Arial" w:cs="Arial"/>
        </w:rPr>
        <w:t xml:space="preserve"> Hawthorn </w:t>
      </w:r>
      <w:r w:rsidR="0046135D">
        <w:rPr>
          <w:rFonts w:ascii="Arial" w:hAnsi="Arial" w:cs="Arial"/>
        </w:rPr>
        <w:t>and Cherry may be potentially interesting at a much smaller size such as those with a diameter of 0.5 m and girth of 1.5 m.</w:t>
      </w:r>
    </w:p>
    <w:p w14:paraId="60AB2034" w14:textId="77777777" w:rsidR="002A6837" w:rsidRPr="005C6580" w:rsidRDefault="002A6837" w:rsidP="00843118">
      <w:pPr>
        <w:spacing w:line="288" w:lineRule="auto"/>
        <w:jc w:val="bot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052"/>
        <w:gridCol w:w="1704"/>
      </w:tblGrid>
      <w:tr w:rsidR="00843118" w:rsidRPr="005C6580" w14:paraId="728DE410" w14:textId="77777777" w:rsidTr="00114C88">
        <w:trPr>
          <w:jc w:val="center"/>
        </w:trPr>
        <w:tc>
          <w:tcPr>
            <w:tcW w:w="1704" w:type="dxa"/>
            <w:shd w:val="clear" w:color="auto" w:fill="CCFFCC"/>
          </w:tcPr>
          <w:p w14:paraId="1FFF658D" w14:textId="77777777" w:rsidR="00843118" w:rsidRPr="005C6580" w:rsidRDefault="00843118" w:rsidP="008705EA">
            <w:pPr>
              <w:spacing w:line="288" w:lineRule="auto"/>
              <w:jc w:val="center"/>
              <w:rPr>
                <w:rFonts w:ascii="Arial" w:hAnsi="Arial" w:cs="Arial"/>
                <w:sz w:val="18"/>
                <w:szCs w:val="18"/>
              </w:rPr>
            </w:pPr>
            <w:r>
              <w:rPr>
                <w:rFonts w:ascii="Arial" w:hAnsi="Arial" w:cs="Arial"/>
                <w:sz w:val="18"/>
                <w:szCs w:val="18"/>
              </w:rPr>
              <w:t>Girth</w:t>
            </w:r>
            <w:r w:rsidR="00860DB8">
              <w:rPr>
                <w:rFonts w:ascii="Arial" w:hAnsi="Arial" w:cs="Arial"/>
                <w:sz w:val="18"/>
                <w:szCs w:val="18"/>
              </w:rPr>
              <w:t xml:space="preserve"> (m</w:t>
            </w:r>
            <w:r w:rsidR="002A6837">
              <w:rPr>
                <w:rFonts w:ascii="Arial" w:hAnsi="Arial" w:cs="Arial"/>
                <w:sz w:val="18"/>
                <w:szCs w:val="18"/>
              </w:rPr>
              <w:t>)</w:t>
            </w:r>
          </w:p>
        </w:tc>
        <w:tc>
          <w:tcPr>
            <w:tcW w:w="2052" w:type="dxa"/>
            <w:shd w:val="clear" w:color="auto" w:fill="CCFFCC"/>
          </w:tcPr>
          <w:p w14:paraId="23E792F6" w14:textId="77777777" w:rsidR="00843118" w:rsidRPr="005C6580" w:rsidRDefault="00860DB8" w:rsidP="008705EA">
            <w:pPr>
              <w:spacing w:line="288" w:lineRule="auto"/>
              <w:jc w:val="center"/>
              <w:rPr>
                <w:rFonts w:ascii="Arial" w:hAnsi="Arial" w:cs="Arial"/>
                <w:sz w:val="18"/>
                <w:szCs w:val="18"/>
              </w:rPr>
            </w:pPr>
            <w:r>
              <w:rPr>
                <w:rFonts w:ascii="Arial" w:hAnsi="Arial" w:cs="Arial"/>
                <w:sz w:val="18"/>
                <w:szCs w:val="18"/>
              </w:rPr>
              <w:t>Diameter (m) at</w:t>
            </w:r>
            <w:r w:rsidR="002A6837">
              <w:rPr>
                <w:rFonts w:ascii="Arial" w:hAnsi="Arial" w:cs="Arial"/>
                <w:sz w:val="18"/>
                <w:szCs w:val="18"/>
              </w:rPr>
              <w:t xml:space="preserve"> </w:t>
            </w:r>
            <w:r>
              <w:rPr>
                <w:rFonts w:ascii="Arial" w:hAnsi="Arial" w:cs="Arial"/>
                <w:sz w:val="18"/>
                <w:szCs w:val="18"/>
              </w:rPr>
              <w:t>1.5 m</w:t>
            </w:r>
          </w:p>
        </w:tc>
        <w:tc>
          <w:tcPr>
            <w:tcW w:w="1704" w:type="dxa"/>
            <w:shd w:val="clear" w:color="auto" w:fill="CCFFCC"/>
          </w:tcPr>
          <w:p w14:paraId="05FDBED0" w14:textId="77777777" w:rsidR="00843118" w:rsidRPr="005C6580" w:rsidRDefault="00843118" w:rsidP="008705EA">
            <w:pPr>
              <w:spacing w:line="288" w:lineRule="auto"/>
              <w:jc w:val="center"/>
              <w:rPr>
                <w:rFonts w:ascii="Arial" w:hAnsi="Arial" w:cs="Arial"/>
                <w:sz w:val="18"/>
                <w:szCs w:val="18"/>
              </w:rPr>
            </w:pPr>
            <w:r w:rsidRPr="005C6580">
              <w:rPr>
                <w:rFonts w:ascii="Arial" w:hAnsi="Arial" w:cs="Arial"/>
                <w:sz w:val="18"/>
                <w:szCs w:val="18"/>
              </w:rPr>
              <w:t>Classification</w:t>
            </w:r>
          </w:p>
        </w:tc>
      </w:tr>
      <w:tr w:rsidR="00843118" w:rsidRPr="005C6580" w14:paraId="6BAECBF4" w14:textId="77777777" w:rsidTr="00114C88">
        <w:trPr>
          <w:jc w:val="center"/>
        </w:trPr>
        <w:tc>
          <w:tcPr>
            <w:tcW w:w="1704" w:type="dxa"/>
          </w:tcPr>
          <w:p w14:paraId="487323FC" w14:textId="77777777" w:rsidR="00843118" w:rsidRDefault="002D41DB" w:rsidP="008705EA">
            <w:pPr>
              <w:spacing w:line="288" w:lineRule="auto"/>
              <w:jc w:val="center"/>
              <w:rPr>
                <w:rFonts w:ascii="Arial" w:hAnsi="Arial" w:cs="Arial"/>
                <w:sz w:val="18"/>
                <w:szCs w:val="18"/>
              </w:rPr>
            </w:pPr>
            <w:r>
              <w:rPr>
                <w:rFonts w:ascii="Arial" w:hAnsi="Arial" w:cs="Arial"/>
                <w:sz w:val="18"/>
                <w:szCs w:val="18"/>
              </w:rPr>
              <w:t>3.1 – 4.</w:t>
            </w:r>
            <w:r w:rsidR="00860DB8">
              <w:rPr>
                <w:rFonts w:ascii="Arial" w:hAnsi="Arial" w:cs="Arial"/>
                <w:sz w:val="18"/>
                <w:szCs w:val="18"/>
              </w:rPr>
              <w:t>2</w:t>
            </w:r>
          </w:p>
        </w:tc>
        <w:tc>
          <w:tcPr>
            <w:tcW w:w="2052" w:type="dxa"/>
          </w:tcPr>
          <w:p w14:paraId="0438633A" w14:textId="77777777" w:rsidR="00843118" w:rsidRPr="005C6580" w:rsidRDefault="00997534" w:rsidP="008705EA">
            <w:pPr>
              <w:spacing w:line="288" w:lineRule="auto"/>
              <w:jc w:val="center"/>
              <w:rPr>
                <w:rFonts w:ascii="Arial" w:hAnsi="Arial" w:cs="Arial"/>
                <w:sz w:val="18"/>
                <w:szCs w:val="18"/>
              </w:rPr>
            </w:pPr>
            <w:r>
              <w:rPr>
                <w:rFonts w:ascii="Arial" w:hAnsi="Arial" w:cs="Arial"/>
                <w:sz w:val="18"/>
                <w:szCs w:val="18"/>
              </w:rPr>
              <w:t>1  – 1.3</w:t>
            </w:r>
          </w:p>
        </w:tc>
        <w:tc>
          <w:tcPr>
            <w:tcW w:w="1704" w:type="dxa"/>
          </w:tcPr>
          <w:p w14:paraId="02435209" w14:textId="77777777" w:rsidR="00843118" w:rsidRPr="005C6580" w:rsidRDefault="00843118" w:rsidP="008705EA">
            <w:pPr>
              <w:spacing w:line="288" w:lineRule="auto"/>
              <w:jc w:val="center"/>
              <w:rPr>
                <w:rFonts w:ascii="Arial" w:hAnsi="Arial" w:cs="Arial"/>
                <w:sz w:val="18"/>
                <w:szCs w:val="18"/>
              </w:rPr>
            </w:pPr>
            <w:r w:rsidRPr="005C6580">
              <w:rPr>
                <w:rFonts w:ascii="Arial" w:hAnsi="Arial" w:cs="Arial"/>
                <w:sz w:val="18"/>
                <w:szCs w:val="18"/>
              </w:rPr>
              <w:t>Notable</w:t>
            </w:r>
          </w:p>
        </w:tc>
      </w:tr>
      <w:tr w:rsidR="00843118" w:rsidRPr="005C6580" w14:paraId="7416BAD1" w14:textId="77777777" w:rsidTr="00114C88">
        <w:trPr>
          <w:jc w:val="center"/>
        </w:trPr>
        <w:tc>
          <w:tcPr>
            <w:tcW w:w="1704" w:type="dxa"/>
          </w:tcPr>
          <w:p w14:paraId="2BD341AF" w14:textId="77777777" w:rsidR="00843118" w:rsidRPr="005C6580" w:rsidRDefault="00997534" w:rsidP="008705EA">
            <w:pPr>
              <w:spacing w:line="288" w:lineRule="auto"/>
              <w:jc w:val="center"/>
              <w:rPr>
                <w:rFonts w:ascii="Arial" w:hAnsi="Arial" w:cs="Arial"/>
                <w:sz w:val="18"/>
                <w:szCs w:val="18"/>
              </w:rPr>
            </w:pPr>
            <w:r>
              <w:rPr>
                <w:rFonts w:ascii="Arial" w:hAnsi="Arial" w:cs="Arial"/>
                <w:sz w:val="18"/>
                <w:szCs w:val="18"/>
              </w:rPr>
              <w:t xml:space="preserve">4.3 </w:t>
            </w:r>
            <w:r w:rsidR="00860DB8">
              <w:rPr>
                <w:rFonts w:ascii="Arial" w:hAnsi="Arial" w:cs="Arial"/>
                <w:sz w:val="18"/>
                <w:szCs w:val="18"/>
              </w:rPr>
              <w:t>–</w:t>
            </w:r>
            <w:r>
              <w:rPr>
                <w:rFonts w:ascii="Arial" w:hAnsi="Arial" w:cs="Arial"/>
                <w:sz w:val="18"/>
                <w:szCs w:val="18"/>
              </w:rPr>
              <w:t xml:space="preserve"> </w:t>
            </w:r>
            <w:r w:rsidR="00860DB8">
              <w:rPr>
                <w:rFonts w:ascii="Arial" w:hAnsi="Arial" w:cs="Arial"/>
                <w:sz w:val="18"/>
                <w:szCs w:val="18"/>
              </w:rPr>
              <w:t>5.0</w:t>
            </w:r>
          </w:p>
        </w:tc>
        <w:tc>
          <w:tcPr>
            <w:tcW w:w="2052" w:type="dxa"/>
          </w:tcPr>
          <w:p w14:paraId="628BB2A9" w14:textId="77777777" w:rsidR="00843118" w:rsidRPr="005C6580" w:rsidRDefault="00997534" w:rsidP="008705EA">
            <w:pPr>
              <w:spacing w:line="288" w:lineRule="auto"/>
              <w:jc w:val="center"/>
              <w:rPr>
                <w:rFonts w:ascii="Arial" w:hAnsi="Arial" w:cs="Arial"/>
                <w:sz w:val="18"/>
                <w:szCs w:val="18"/>
              </w:rPr>
            </w:pPr>
            <w:r>
              <w:rPr>
                <w:rFonts w:ascii="Arial" w:hAnsi="Arial" w:cs="Arial"/>
                <w:sz w:val="18"/>
                <w:szCs w:val="18"/>
              </w:rPr>
              <w:t>1.4</w:t>
            </w:r>
            <w:r w:rsidR="00843118" w:rsidRPr="005C6580">
              <w:rPr>
                <w:rFonts w:ascii="Arial" w:hAnsi="Arial" w:cs="Arial"/>
                <w:sz w:val="18"/>
                <w:szCs w:val="18"/>
              </w:rPr>
              <w:t xml:space="preserve"> – 1.6</w:t>
            </w:r>
          </w:p>
        </w:tc>
        <w:tc>
          <w:tcPr>
            <w:tcW w:w="1704" w:type="dxa"/>
          </w:tcPr>
          <w:p w14:paraId="2451E04D" w14:textId="77777777" w:rsidR="00843118" w:rsidRPr="005C6580" w:rsidRDefault="00843118" w:rsidP="008705EA">
            <w:pPr>
              <w:spacing w:line="288" w:lineRule="auto"/>
              <w:jc w:val="center"/>
              <w:rPr>
                <w:rFonts w:ascii="Arial" w:hAnsi="Arial" w:cs="Arial"/>
                <w:sz w:val="18"/>
                <w:szCs w:val="18"/>
              </w:rPr>
            </w:pPr>
            <w:r w:rsidRPr="005C6580">
              <w:rPr>
                <w:rFonts w:ascii="Arial" w:hAnsi="Arial" w:cs="Arial"/>
                <w:sz w:val="18"/>
                <w:szCs w:val="18"/>
              </w:rPr>
              <w:t>Veteran</w:t>
            </w:r>
          </w:p>
        </w:tc>
      </w:tr>
      <w:tr w:rsidR="00843118" w:rsidRPr="005C6580" w14:paraId="32DABB03" w14:textId="77777777" w:rsidTr="00114C88">
        <w:trPr>
          <w:jc w:val="center"/>
        </w:trPr>
        <w:tc>
          <w:tcPr>
            <w:tcW w:w="1704" w:type="dxa"/>
          </w:tcPr>
          <w:p w14:paraId="2709E3C1" w14:textId="77777777" w:rsidR="00843118" w:rsidRPr="005C6580" w:rsidRDefault="00860DB8" w:rsidP="008705EA">
            <w:pPr>
              <w:spacing w:line="288" w:lineRule="auto"/>
              <w:jc w:val="center"/>
              <w:rPr>
                <w:rFonts w:ascii="Arial" w:hAnsi="Arial" w:cs="Arial"/>
                <w:sz w:val="18"/>
                <w:szCs w:val="18"/>
              </w:rPr>
            </w:pPr>
            <w:r>
              <w:rPr>
                <w:rFonts w:ascii="Arial" w:hAnsi="Arial" w:cs="Arial"/>
                <w:sz w:val="18"/>
                <w:szCs w:val="18"/>
              </w:rPr>
              <w:t>5.1 +</w:t>
            </w:r>
          </w:p>
        </w:tc>
        <w:tc>
          <w:tcPr>
            <w:tcW w:w="2052" w:type="dxa"/>
          </w:tcPr>
          <w:p w14:paraId="41733875" w14:textId="77777777" w:rsidR="00843118" w:rsidRPr="005C6580" w:rsidRDefault="00843118" w:rsidP="008705EA">
            <w:pPr>
              <w:spacing w:line="288" w:lineRule="auto"/>
              <w:jc w:val="center"/>
              <w:rPr>
                <w:rFonts w:ascii="Arial" w:hAnsi="Arial" w:cs="Arial"/>
                <w:sz w:val="18"/>
                <w:szCs w:val="18"/>
              </w:rPr>
            </w:pPr>
            <w:r w:rsidRPr="005C6580">
              <w:rPr>
                <w:rFonts w:ascii="Arial" w:hAnsi="Arial" w:cs="Arial"/>
                <w:sz w:val="18"/>
                <w:szCs w:val="18"/>
              </w:rPr>
              <w:t>1.7 +</w:t>
            </w:r>
          </w:p>
        </w:tc>
        <w:tc>
          <w:tcPr>
            <w:tcW w:w="1704" w:type="dxa"/>
          </w:tcPr>
          <w:p w14:paraId="7C49B612" w14:textId="77777777" w:rsidR="00843118" w:rsidRPr="005C6580" w:rsidRDefault="00843118" w:rsidP="008705EA">
            <w:pPr>
              <w:spacing w:line="288" w:lineRule="auto"/>
              <w:jc w:val="center"/>
              <w:rPr>
                <w:rFonts w:ascii="Arial" w:hAnsi="Arial" w:cs="Arial"/>
                <w:sz w:val="18"/>
                <w:szCs w:val="18"/>
              </w:rPr>
            </w:pPr>
            <w:r w:rsidRPr="005C6580">
              <w:rPr>
                <w:rFonts w:ascii="Arial" w:hAnsi="Arial" w:cs="Arial"/>
                <w:sz w:val="18"/>
                <w:szCs w:val="18"/>
              </w:rPr>
              <w:t>Ancient</w:t>
            </w:r>
          </w:p>
        </w:tc>
      </w:tr>
    </w:tbl>
    <w:p w14:paraId="0C454047" w14:textId="77777777" w:rsidR="00843118" w:rsidRDefault="00843118"/>
    <w:p w14:paraId="57BFA3A1" w14:textId="77777777" w:rsidR="00843118" w:rsidRDefault="00843118" w:rsidP="00843118">
      <w:pPr>
        <w:spacing w:line="288" w:lineRule="auto"/>
        <w:jc w:val="both"/>
        <w:rPr>
          <w:rFonts w:ascii="Arial" w:hAnsi="Arial" w:cs="Arial"/>
        </w:rPr>
      </w:pPr>
      <w:r>
        <w:rPr>
          <w:rFonts w:ascii="Arial" w:hAnsi="Arial" w:cs="Arial"/>
        </w:rPr>
        <w:t>These trees are important for the features that they display with progressive aging, providing</w:t>
      </w:r>
      <w:r w:rsidRPr="00B44386">
        <w:rPr>
          <w:rFonts w:ascii="Arial" w:hAnsi="Arial" w:cs="Arial"/>
        </w:rPr>
        <w:t xml:space="preserve"> habitat for many organisms</w:t>
      </w:r>
      <w:r w:rsidR="00056D5B">
        <w:rPr>
          <w:rFonts w:ascii="Arial" w:hAnsi="Arial" w:cs="Arial"/>
        </w:rPr>
        <w:t>,</w:t>
      </w:r>
      <w:r w:rsidR="002A6837">
        <w:rPr>
          <w:rFonts w:ascii="Arial" w:hAnsi="Arial" w:cs="Arial"/>
        </w:rPr>
        <w:t xml:space="preserve"> and</w:t>
      </w:r>
      <w:r>
        <w:rPr>
          <w:rFonts w:ascii="Arial" w:hAnsi="Arial" w:cs="Arial"/>
        </w:rPr>
        <w:t xml:space="preserve"> known as ‘veteran features’. As the tree ages, weak areas and any wounds are </w:t>
      </w:r>
      <w:r w:rsidRPr="00B44386">
        <w:rPr>
          <w:rFonts w:ascii="Arial" w:hAnsi="Arial" w:cs="Arial"/>
        </w:rPr>
        <w:t>progressively colonised by fungi that change the nature and condition of</w:t>
      </w:r>
      <w:r>
        <w:rPr>
          <w:rFonts w:ascii="Arial" w:hAnsi="Arial" w:cs="Arial"/>
        </w:rPr>
        <w:t xml:space="preserve"> the</w:t>
      </w:r>
      <w:r w:rsidRPr="00B44386">
        <w:rPr>
          <w:rFonts w:ascii="Arial" w:hAnsi="Arial" w:cs="Arial"/>
        </w:rPr>
        <w:t xml:space="preserve"> wood </w:t>
      </w:r>
      <w:r>
        <w:rPr>
          <w:rFonts w:ascii="Arial" w:hAnsi="Arial" w:cs="Arial"/>
        </w:rPr>
        <w:t>resulting in an</w:t>
      </w:r>
      <w:r w:rsidRPr="00B44386">
        <w:rPr>
          <w:rFonts w:ascii="Arial" w:hAnsi="Arial" w:cs="Arial"/>
        </w:rPr>
        <w:t xml:space="preserve"> </w:t>
      </w:r>
      <w:r>
        <w:rPr>
          <w:rFonts w:ascii="Arial" w:hAnsi="Arial" w:cs="Arial"/>
        </w:rPr>
        <w:t xml:space="preserve">accumulation of dead woody tissue. This often results in the </w:t>
      </w:r>
      <w:r w:rsidRPr="00B44386">
        <w:rPr>
          <w:rFonts w:ascii="Arial" w:hAnsi="Arial" w:cs="Arial"/>
        </w:rPr>
        <w:t xml:space="preserve">shedding of </w:t>
      </w:r>
      <w:r>
        <w:rPr>
          <w:rFonts w:ascii="Arial" w:hAnsi="Arial" w:cs="Arial"/>
        </w:rPr>
        <w:t>branches</w:t>
      </w:r>
      <w:r w:rsidR="0041629D">
        <w:rPr>
          <w:rFonts w:ascii="Arial" w:hAnsi="Arial" w:cs="Arial"/>
        </w:rPr>
        <w:t>,</w:t>
      </w:r>
      <w:r>
        <w:rPr>
          <w:rFonts w:ascii="Arial" w:hAnsi="Arial" w:cs="Arial"/>
        </w:rPr>
        <w:t xml:space="preserve"> which</w:t>
      </w:r>
      <w:r w:rsidR="0041629D">
        <w:rPr>
          <w:rFonts w:ascii="Arial" w:hAnsi="Arial" w:cs="Arial"/>
        </w:rPr>
        <w:t>,</w:t>
      </w:r>
      <w:r>
        <w:rPr>
          <w:rFonts w:ascii="Arial" w:hAnsi="Arial" w:cs="Arial"/>
        </w:rPr>
        <w:t xml:space="preserve"> in turn</w:t>
      </w:r>
      <w:r w:rsidR="0041629D">
        <w:rPr>
          <w:rFonts w:ascii="Arial" w:hAnsi="Arial" w:cs="Arial"/>
        </w:rPr>
        <w:t>,</w:t>
      </w:r>
      <w:r>
        <w:rPr>
          <w:rFonts w:ascii="Arial" w:hAnsi="Arial" w:cs="Arial"/>
        </w:rPr>
        <w:t xml:space="preserve"> may result in </w:t>
      </w:r>
      <w:r w:rsidR="0041629D">
        <w:rPr>
          <w:rFonts w:ascii="Arial" w:hAnsi="Arial" w:cs="Arial"/>
        </w:rPr>
        <w:t>branch cavities and</w:t>
      </w:r>
      <w:r w:rsidRPr="00B44386">
        <w:rPr>
          <w:rFonts w:ascii="Arial" w:hAnsi="Arial" w:cs="Arial"/>
        </w:rPr>
        <w:t xml:space="preserve"> shattered branc</w:t>
      </w:r>
      <w:r>
        <w:rPr>
          <w:rFonts w:ascii="Arial" w:hAnsi="Arial" w:cs="Arial"/>
        </w:rPr>
        <w:t>h ends</w:t>
      </w:r>
      <w:r w:rsidR="0041629D">
        <w:rPr>
          <w:rFonts w:ascii="Arial" w:hAnsi="Arial" w:cs="Arial"/>
        </w:rPr>
        <w:t xml:space="preserve">. Other </w:t>
      </w:r>
      <w:r w:rsidR="002A6837">
        <w:rPr>
          <w:rFonts w:ascii="Arial" w:hAnsi="Arial" w:cs="Arial"/>
        </w:rPr>
        <w:t xml:space="preserve">important </w:t>
      </w:r>
      <w:r w:rsidR="0041629D">
        <w:rPr>
          <w:rFonts w:ascii="Arial" w:hAnsi="Arial" w:cs="Arial"/>
        </w:rPr>
        <w:t>features include</w:t>
      </w:r>
      <w:r>
        <w:rPr>
          <w:rFonts w:ascii="Arial" w:hAnsi="Arial" w:cs="Arial"/>
        </w:rPr>
        <w:t xml:space="preserve"> loose bark, sap runs,</w:t>
      </w:r>
      <w:r w:rsidRPr="00B44386">
        <w:rPr>
          <w:rFonts w:ascii="Arial" w:hAnsi="Arial" w:cs="Arial"/>
        </w:rPr>
        <w:t xml:space="preserve"> a range of rot types</w:t>
      </w:r>
      <w:r>
        <w:rPr>
          <w:rFonts w:ascii="Arial" w:hAnsi="Arial" w:cs="Arial"/>
        </w:rPr>
        <w:t xml:space="preserve"> and eventually the hollowing of the tree</w:t>
      </w:r>
      <w:r w:rsidRPr="00B44386">
        <w:rPr>
          <w:rFonts w:ascii="Arial" w:hAnsi="Arial" w:cs="Arial"/>
        </w:rPr>
        <w:t xml:space="preserve">. </w:t>
      </w:r>
      <w:r w:rsidR="0041629D">
        <w:rPr>
          <w:rFonts w:ascii="Arial" w:hAnsi="Arial" w:cs="Arial"/>
        </w:rPr>
        <w:t>As the tree ages the number of specialist niches increases, each with a diverse food web. T</w:t>
      </w:r>
      <w:r w:rsidRPr="00B44386">
        <w:rPr>
          <w:rFonts w:ascii="Arial" w:hAnsi="Arial" w:cs="Arial"/>
        </w:rPr>
        <w:t xml:space="preserve">he </w:t>
      </w:r>
      <w:r w:rsidR="0008317B">
        <w:rPr>
          <w:rFonts w:ascii="Arial" w:hAnsi="Arial" w:cs="Arial"/>
        </w:rPr>
        <w:t xml:space="preserve">dead wood and the </w:t>
      </w:r>
      <w:r>
        <w:rPr>
          <w:rFonts w:ascii="Arial" w:hAnsi="Arial" w:cs="Arial"/>
        </w:rPr>
        <w:t>fruiting bodies and mycelia</w:t>
      </w:r>
      <w:r w:rsidRPr="00B44386">
        <w:rPr>
          <w:rFonts w:ascii="Arial" w:hAnsi="Arial" w:cs="Arial"/>
        </w:rPr>
        <w:t xml:space="preserve"> of saproxylic fungi </w:t>
      </w:r>
      <w:r>
        <w:rPr>
          <w:rFonts w:ascii="Arial" w:hAnsi="Arial" w:cs="Arial"/>
        </w:rPr>
        <w:t>may be colonis</w:t>
      </w:r>
      <w:r w:rsidR="0041629D">
        <w:rPr>
          <w:rFonts w:ascii="Arial" w:hAnsi="Arial" w:cs="Arial"/>
        </w:rPr>
        <w:t>e</w:t>
      </w:r>
      <w:r w:rsidR="002D41DB">
        <w:rPr>
          <w:rFonts w:ascii="Arial" w:hAnsi="Arial" w:cs="Arial"/>
        </w:rPr>
        <w:t>d by specialised invertebrates such as beetles, flies, hoverflies and soldier-flies.</w:t>
      </w:r>
      <w:r w:rsidR="0008317B">
        <w:rPr>
          <w:rFonts w:ascii="Arial" w:hAnsi="Arial" w:cs="Arial"/>
        </w:rPr>
        <w:t xml:space="preserve"> </w:t>
      </w:r>
      <w:r w:rsidR="002D41DB">
        <w:rPr>
          <w:rFonts w:ascii="Arial" w:hAnsi="Arial" w:cs="Arial"/>
        </w:rPr>
        <w:t>Many</w:t>
      </w:r>
      <w:r>
        <w:rPr>
          <w:rFonts w:ascii="Arial" w:hAnsi="Arial" w:cs="Arial"/>
        </w:rPr>
        <w:t xml:space="preserve"> </w:t>
      </w:r>
      <w:proofErr w:type="spellStart"/>
      <w:r>
        <w:rPr>
          <w:rFonts w:ascii="Arial" w:hAnsi="Arial" w:cs="Arial"/>
        </w:rPr>
        <w:t>saproxylic</w:t>
      </w:r>
      <w:proofErr w:type="spellEnd"/>
      <w:r>
        <w:rPr>
          <w:rFonts w:ascii="Arial" w:hAnsi="Arial" w:cs="Arial"/>
        </w:rPr>
        <w:t xml:space="preserve"> invertebrates have limited powers of dispersal, and so the greater the length of time a group of trees have persisted in an area, the greater the chance that this habitat has been colonised by such species.</w:t>
      </w:r>
      <w:r w:rsidR="002D41DB">
        <w:rPr>
          <w:rFonts w:ascii="Arial" w:hAnsi="Arial" w:cs="Arial"/>
        </w:rPr>
        <w:t xml:space="preserve"> These</w:t>
      </w:r>
      <w:r w:rsidR="002A6837">
        <w:rPr>
          <w:rFonts w:ascii="Arial" w:hAnsi="Arial" w:cs="Arial"/>
        </w:rPr>
        <w:t xml:space="preserve"> features,</w:t>
      </w:r>
      <w:r w:rsidR="002D41DB">
        <w:rPr>
          <w:rFonts w:ascii="Arial" w:hAnsi="Arial" w:cs="Arial"/>
        </w:rPr>
        <w:t xml:space="preserve"> in turn</w:t>
      </w:r>
      <w:r w:rsidR="002A6837">
        <w:rPr>
          <w:rFonts w:ascii="Arial" w:hAnsi="Arial" w:cs="Arial"/>
        </w:rPr>
        <w:t>,</w:t>
      </w:r>
      <w:r w:rsidR="002D41DB">
        <w:rPr>
          <w:rFonts w:ascii="Arial" w:hAnsi="Arial" w:cs="Arial"/>
        </w:rPr>
        <w:t xml:space="preserve"> provide niches for other invertebrates </w:t>
      </w:r>
      <w:r w:rsidR="002A6837">
        <w:rPr>
          <w:rFonts w:ascii="Arial" w:hAnsi="Arial" w:cs="Arial"/>
        </w:rPr>
        <w:t>and animals that may not feed on dead material associated with the tree</w:t>
      </w:r>
      <w:r w:rsidR="00056D5B">
        <w:rPr>
          <w:rFonts w:ascii="Arial" w:hAnsi="Arial" w:cs="Arial"/>
        </w:rPr>
        <w:t>,</w:t>
      </w:r>
      <w:r w:rsidR="002A6837">
        <w:rPr>
          <w:rFonts w:ascii="Arial" w:hAnsi="Arial" w:cs="Arial"/>
        </w:rPr>
        <w:t xml:space="preserve"> </w:t>
      </w:r>
      <w:r w:rsidR="002D41DB">
        <w:rPr>
          <w:rFonts w:ascii="Arial" w:hAnsi="Arial" w:cs="Arial"/>
        </w:rPr>
        <w:t>such as solitary bees and wasps</w:t>
      </w:r>
      <w:r w:rsidR="00056D5B" w:rsidRPr="00056D5B">
        <w:rPr>
          <w:rFonts w:ascii="Arial" w:hAnsi="Arial" w:cs="Arial"/>
        </w:rPr>
        <w:t xml:space="preserve"> </w:t>
      </w:r>
      <w:r w:rsidR="00056D5B">
        <w:rPr>
          <w:rFonts w:ascii="Arial" w:hAnsi="Arial" w:cs="Arial"/>
        </w:rPr>
        <w:t>utilising the holes left by wood-boring beetles</w:t>
      </w:r>
      <w:r w:rsidR="002D41DB">
        <w:rPr>
          <w:rFonts w:ascii="Arial" w:hAnsi="Arial" w:cs="Arial"/>
        </w:rPr>
        <w:t>.</w:t>
      </w:r>
      <w:r w:rsidR="0008317B">
        <w:rPr>
          <w:rFonts w:ascii="Arial" w:hAnsi="Arial" w:cs="Arial"/>
        </w:rPr>
        <w:t xml:space="preserve"> </w:t>
      </w:r>
      <w:r w:rsidR="0008317B" w:rsidRPr="0008317B">
        <w:rPr>
          <w:rFonts w:ascii="Arial" w:hAnsi="Arial" w:cs="Arial"/>
        </w:rPr>
        <w:t xml:space="preserve"> </w:t>
      </w:r>
      <w:r w:rsidR="0008317B">
        <w:rPr>
          <w:rFonts w:ascii="Arial" w:hAnsi="Arial" w:cs="Arial"/>
        </w:rPr>
        <w:t>Larger creatures</w:t>
      </w:r>
      <w:r w:rsidR="00056D5B">
        <w:rPr>
          <w:rFonts w:ascii="Arial" w:hAnsi="Arial" w:cs="Arial"/>
        </w:rPr>
        <w:t>,</w:t>
      </w:r>
      <w:r w:rsidR="0008317B">
        <w:rPr>
          <w:rFonts w:ascii="Arial" w:hAnsi="Arial" w:cs="Arial"/>
        </w:rPr>
        <w:t xml:space="preserve"> such as bats</w:t>
      </w:r>
      <w:r w:rsidR="00056D5B">
        <w:rPr>
          <w:rFonts w:ascii="Arial" w:hAnsi="Arial" w:cs="Arial"/>
        </w:rPr>
        <w:t>,</w:t>
      </w:r>
      <w:r w:rsidR="0008317B">
        <w:rPr>
          <w:rFonts w:ascii="Arial" w:hAnsi="Arial" w:cs="Arial"/>
        </w:rPr>
        <w:t xml:space="preserve"> roost beneath loose bark, in fissures and in</w:t>
      </w:r>
      <w:r w:rsidR="00056D5B">
        <w:rPr>
          <w:rFonts w:ascii="Arial" w:hAnsi="Arial" w:cs="Arial"/>
        </w:rPr>
        <w:t xml:space="preserve"> hollows, and nesting birds also use these features</w:t>
      </w:r>
      <w:r w:rsidR="0008317B">
        <w:rPr>
          <w:rFonts w:ascii="Arial" w:hAnsi="Arial" w:cs="Arial"/>
        </w:rPr>
        <w:t xml:space="preserve">. </w:t>
      </w:r>
      <w:r w:rsidR="0008317B" w:rsidRPr="00EA3706">
        <w:rPr>
          <w:rFonts w:ascii="Arial" w:hAnsi="Arial" w:cs="Arial"/>
        </w:rPr>
        <w:t xml:space="preserve">Due to the decrease in the number of such trees and the clearing and tidying of dead wood, many species </w:t>
      </w:r>
      <w:r w:rsidR="00114C88">
        <w:rPr>
          <w:rFonts w:ascii="Arial" w:hAnsi="Arial" w:cs="Arial"/>
        </w:rPr>
        <w:t>associated with this habitat, particularly invertebrates</w:t>
      </w:r>
      <w:r w:rsidR="002A277E">
        <w:rPr>
          <w:rFonts w:ascii="Arial" w:hAnsi="Arial" w:cs="Arial"/>
        </w:rPr>
        <w:t>,</w:t>
      </w:r>
      <w:r w:rsidR="00114C88">
        <w:rPr>
          <w:rFonts w:ascii="Arial" w:hAnsi="Arial" w:cs="Arial"/>
        </w:rPr>
        <w:t xml:space="preserve"> </w:t>
      </w:r>
      <w:r w:rsidR="0008317B" w:rsidRPr="00EA3706">
        <w:rPr>
          <w:rFonts w:ascii="Arial" w:hAnsi="Arial" w:cs="Arial"/>
        </w:rPr>
        <w:t xml:space="preserve">are </w:t>
      </w:r>
      <w:r w:rsidR="0008317B">
        <w:rPr>
          <w:rFonts w:ascii="Arial" w:hAnsi="Arial" w:cs="Arial"/>
        </w:rPr>
        <w:t>very rare.</w:t>
      </w:r>
    </w:p>
    <w:p w14:paraId="6DF54E66" w14:textId="77777777" w:rsidR="00843118" w:rsidRDefault="00843118" w:rsidP="00843118">
      <w:pPr>
        <w:spacing w:line="288" w:lineRule="auto"/>
        <w:rPr>
          <w:rFonts w:ascii="Arial" w:hAnsi="Arial" w:cs="Arial"/>
        </w:rPr>
      </w:pPr>
    </w:p>
    <w:p w14:paraId="76CD8302" w14:textId="77777777" w:rsidR="00843118" w:rsidRDefault="00843118"/>
    <w:sectPr w:rsidR="00843118" w:rsidSect="00E278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18"/>
    <w:rsid w:val="00056D5B"/>
    <w:rsid w:val="0008317B"/>
    <w:rsid w:val="00114C88"/>
    <w:rsid w:val="002A277E"/>
    <w:rsid w:val="002A6837"/>
    <w:rsid w:val="002D41DB"/>
    <w:rsid w:val="0041629D"/>
    <w:rsid w:val="0046135D"/>
    <w:rsid w:val="00843118"/>
    <w:rsid w:val="00860DB8"/>
    <w:rsid w:val="008705EA"/>
    <w:rsid w:val="00997534"/>
    <w:rsid w:val="00A6116E"/>
    <w:rsid w:val="00E2782F"/>
    <w:rsid w:val="00E77E52"/>
    <w:rsid w:val="00FB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C2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18"/>
    <w:pPr>
      <w:spacing w:line="312" w:lineRule="auto"/>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18"/>
    <w:pPr>
      <w:spacing w:line="312" w:lineRule="auto"/>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Wildlife Splash</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Thompson</dc:creator>
  <cp:lastModifiedBy>Julia</cp:lastModifiedBy>
  <cp:revision>2</cp:revision>
  <dcterms:created xsi:type="dcterms:W3CDTF">2015-04-24T12:16:00Z</dcterms:created>
  <dcterms:modified xsi:type="dcterms:W3CDTF">2015-04-24T12:16:00Z</dcterms:modified>
</cp:coreProperties>
</file>